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C2" w:rsidRPr="00DF3F96" w:rsidRDefault="00A651C2" w:rsidP="00DF3F96">
      <w:pPr>
        <w:spacing w:line="560" w:lineRule="exact"/>
        <w:jc w:val="center"/>
        <w:rPr>
          <w:rFonts w:ascii="方正小标宋简体" w:eastAsia="方正小标宋简体" w:hAnsiTheme="majorEastAsia"/>
          <w:sz w:val="44"/>
          <w:szCs w:val="44"/>
        </w:rPr>
      </w:pPr>
      <w:r w:rsidRPr="00DF3F96">
        <w:rPr>
          <w:rFonts w:ascii="方正小标宋简体" w:eastAsia="方正小标宋简体" w:hAnsiTheme="majorEastAsia" w:cs="宋体" w:hint="eastAsia"/>
          <w:sz w:val="44"/>
          <w:szCs w:val="44"/>
        </w:rPr>
        <w:t>《天津市房屋建筑和市政基础设施建设工程企业信用评价</w:t>
      </w:r>
      <w:r w:rsidR="00C63B4D">
        <w:rPr>
          <w:rFonts w:ascii="方正小标宋简体" w:eastAsia="方正小标宋简体" w:hAnsiTheme="majorEastAsia" w:cs="宋体" w:hint="eastAsia"/>
          <w:sz w:val="44"/>
          <w:szCs w:val="44"/>
        </w:rPr>
        <w:t>管理</w:t>
      </w:r>
      <w:r w:rsidRPr="00DF3F96">
        <w:rPr>
          <w:rFonts w:ascii="方正小标宋简体" w:eastAsia="方正小标宋简体" w:hAnsiTheme="majorEastAsia" w:cs="宋体" w:hint="eastAsia"/>
          <w:sz w:val="44"/>
          <w:szCs w:val="44"/>
        </w:rPr>
        <w:t>办法》起草说明</w:t>
      </w:r>
    </w:p>
    <w:p w:rsidR="00A651C2" w:rsidRDefault="00A651C2" w:rsidP="00DF3F96">
      <w:pPr>
        <w:spacing w:line="560" w:lineRule="exact"/>
        <w:jc w:val="center"/>
        <w:rPr>
          <w:rFonts w:ascii="Times New Roman" w:eastAsia="仿宋_GB2312" w:hAnsi="Times New Roman"/>
          <w:sz w:val="36"/>
          <w:szCs w:val="36"/>
        </w:rPr>
      </w:pP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为完善我市建筑市场主体信用体系建设,进一步加强对在本市行政区域内从事房屋建筑和市政基础设施工程建设活动的建设工程企业的信用评价工作，规范建筑市场秩序,营造诚实守信的市场环境,在深入调研、反复论证的基础上,起草了《天津市房屋建筑和市政基础设施建设工程企业信用评价</w:t>
      </w:r>
      <w:r w:rsidR="00C63B4D">
        <w:rPr>
          <w:rFonts w:ascii="仿宋_GB2312" w:eastAsia="仿宋_GB2312" w:hAnsi="仿宋" w:hint="eastAsia"/>
          <w:sz w:val="32"/>
          <w:szCs w:val="32"/>
        </w:rPr>
        <w:t>管理</w:t>
      </w:r>
      <w:r w:rsidRPr="00DF3F96">
        <w:rPr>
          <w:rFonts w:ascii="仿宋_GB2312" w:eastAsia="仿宋_GB2312" w:hAnsi="仿宋" w:hint="eastAsia"/>
          <w:sz w:val="32"/>
          <w:szCs w:val="32"/>
        </w:rPr>
        <w:t>办法（征求意见稿）》（以下简称《办法》），现就有关情况说明如下:</w:t>
      </w:r>
    </w:p>
    <w:p w:rsidR="00A651C2" w:rsidRPr="002D6B72" w:rsidRDefault="00A651C2" w:rsidP="00DF3F96">
      <w:pPr>
        <w:pStyle w:val="a7"/>
        <w:spacing w:line="560" w:lineRule="exact"/>
        <w:ind w:firstLineChars="200" w:firstLine="624"/>
        <w:rPr>
          <w:rFonts w:ascii="黑体" w:eastAsia="黑体" w:hAnsi="黑体"/>
          <w:sz w:val="32"/>
          <w:szCs w:val="32"/>
        </w:rPr>
      </w:pPr>
      <w:r w:rsidRPr="002D6B72">
        <w:rPr>
          <w:rFonts w:ascii="黑体" w:eastAsia="黑体" w:hAnsi="黑体" w:hint="eastAsia"/>
          <w:sz w:val="32"/>
          <w:szCs w:val="32"/>
        </w:rPr>
        <w:t>一、制定目的</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2021年1月1日实施的《天津市社会信用条例》对诚信原则和信用评价机制进行了规范，为使信用评价工作更好的与社会信用条例相衔接，充分运用信用激励和约束手段，加大对诚信主体激励和严重失信主体惩戒的力度，让守信者受益、失信者受限，拟定该《办法》。</w:t>
      </w:r>
    </w:p>
    <w:p w:rsidR="00A651C2"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为减轻企业负担，方便企业参与信用评价工作，该《办法》将《天津市建设工程监理企业信用评价办法》（</w:t>
      </w:r>
      <w:proofErr w:type="gramStart"/>
      <w:r w:rsidRPr="00DF3F96">
        <w:rPr>
          <w:rFonts w:ascii="仿宋_GB2312" w:eastAsia="仿宋_GB2312" w:hAnsi="仿宋" w:hint="eastAsia"/>
          <w:sz w:val="32"/>
          <w:szCs w:val="32"/>
        </w:rPr>
        <w:t>津建筑</w:t>
      </w:r>
      <w:proofErr w:type="gramEnd"/>
      <w:r w:rsidRPr="00DF3F96">
        <w:rPr>
          <w:rFonts w:ascii="仿宋_GB2312" w:eastAsia="仿宋_GB2312" w:hAnsi="仿宋" w:hint="eastAsia"/>
          <w:sz w:val="32"/>
          <w:szCs w:val="32"/>
        </w:rPr>
        <w:t>〔2016〕663号）和《天津市工程造价咨询企业信用评价办法》（</w:t>
      </w:r>
      <w:proofErr w:type="gramStart"/>
      <w:r w:rsidRPr="00DF3F96">
        <w:rPr>
          <w:rFonts w:ascii="仿宋_GB2312" w:eastAsia="仿宋_GB2312" w:hAnsi="仿宋" w:hint="eastAsia"/>
          <w:sz w:val="32"/>
          <w:szCs w:val="32"/>
        </w:rPr>
        <w:t>津建筑</w:t>
      </w:r>
      <w:proofErr w:type="gramEnd"/>
      <w:r w:rsidRPr="00DF3F96">
        <w:rPr>
          <w:rFonts w:ascii="仿宋_GB2312" w:eastAsia="仿宋_GB2312" w:hAnsi="仿宋" w:hint="eastAsia"/>
          <w:sz w:val="32"/>
          <w:szCs w:val="32"/>
        </w:rPr>
        <w:t>〔2017〕35号）、《天津市房屋建筑和市政基础设施工程施工企业信用评价实施办法》（</w:t>
      </w:r>
      <w:proofErr w:type="gramStart"/>
      <w:r w:rsidRPr="00DF3F96">
        <w:rPr>
          <w:rFonts w:ascii="仿宋_GB2312" w:eastAsia="仿宋_GB2312" w:hAnsi="仿宋" w:hint="eastAsia"/>
          <w:sz w:val="32"/>
          <w:szCs w:val="32"/>
        </w:rPr>
        <w:t>津住建</w:t>
      </w:r>
      <w:proofErr w:type="gramEnd"/>
      <w:r w:rsidRPr="00DF3F96">
        <w:rPr>
          <w:rFonts w:ascii="仿宋_GB2312" w:eastAsia="仿宋_GB2312" w:hAnsi="仿宋" w:hint="eastAsia"/>
          <w:sz w:val="32"/>
          <w:szCs w:val="32"/>
        </w:rPr>
        <w:t>发〔2020〕5号）内容进行融合，合并为一个文件。</w:t>
      </w:r>
    </w:p>
    <w:p w:rsidR="00C51F50" w:rsidRPr="00DF3F96" w:rsidRDefault="00C51F50" w:rsidP="00DF3F96">
      <w:pPr>
        <w:pStyle w:val="a7"/>
        <w:spacing w:line="560" w:lineRule="exact"/>
        <w:ind w:firstLineChars="200" w:firstLine="624"/>
        <w:rPr>
          <w:rFonts w:ascii="仿宋_GB2312" w:eastAsia="仿宋_GB2312" w:hAnsi="仿宋" w:hint="eastAsia"/>
          <w:sz w:val="32"/>
          <w:szCs w:val="32"/>
        </w:rPr>
      </w:pPr>
      <w:bookmarkStart w:id="0" w:name="_GoBack"/>
      <w:bookmarkEnd w:id="0"/>
    </w:p>
    <w:p w:rsidR="00A651C2" w:rsidRPr="002D6B72" w:rsidRDefault="00A651C2" w:rsidP="00DF3F96">
      <w:pPr>
        <w:pStyle w:val="a7"/>
        <w:spacing w:line="560" w:lineRule="exact"/>
        <w:ind w:firstLineChars="200" w:firstLine="624"/>
        <w:rPr>
          <w:rFonts w:ascii="仿宋" w:eastAsia="仿宋" w:hAnsi="仿宋"/>
          <w:sz w:val="32"/>
          <w:szCs w:val="32"/>
        </w:rPr>
      </w:pPr>
      <w:r w:rsidRPr="002D6B72">
        <w:rPr>
          <w:rFonts w:ascii="黑体" w:eastAsia="黑体" w:hAnsi="黑体" w:hint="eastAsia"/>
          <w:sz w:val="32"/>
          <w:szCs w:val="32"/>
        </w:rPr>
        <w:lastRenderedPageBreak/>
        <w:t>二、主要内容</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《办法》共25条，从实施目的、评价对象、职责分工、评价方式、评价内容、计分方法以及信用信息定义分类、归集周期、结果应用、异议申诉等方面进行了明确。主要有以下特点：</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一是明确了信用评价的形式和主要内容，</w:t>
      </w:r>
      <w:r w:rsidRPr="00DF3F96">
        <w:rPr>
          <w:rFonts w:ascii="仿宋_GB2312" w:eastAsia="仿宋_GB2312" w:hAnsi="仿宋" w:cs="宋体" w:hint="eastAsia"/>
          <w:kern w:val="0"/>
          <w:sz w:val="32"/>
          <w:szCs w:val="32"/>
        </w:rPr>
        <w:t>即通过天津市建筑市场信用管理平台归集</w:t>
      </w:r>
      <w:r w:rsidRPr="00DF3F96">
        <w:rPr>
          <w:rFonts w:ascii="仿宋_GB2312" w:eastAsia="仿宋_GB2312" w:hAnsi="仿宋" w:hint="eastAsia"/>
          <w:sz w:val="32"/>
          <w:szCs w:val="32"/>
        </w:rPr>
        <w:t>建设工程</w:t>
      </w:r>
      <w:r w:rsidRPr="00DF3F96">
        <w:rPr>
          <w:rFonts w:ascii="仿宋_GB2312" w:eastAsia="仿宋_GB2312" w:hAnsi="仿宋" w:cs="宋体" w:hint="eastAsia"/>
          <w:kern w:val="0"/>
          <w:sz w:val="32"/>
          <w:szCs w:val="32"/>
        </w:rPr>
        <w:t>企业在本市的信用信息后，进行信用综合量化评分。评价</w:t>
      </w:r>
      <w:r w:rsidRPr="00DF3F96">
        <w:rPr>
          <w:rFonts w:ascii="仿宋_GB2312" w:eastAsia="仿宋_GB2312" w:hAnsi="仿宋" w:hint="eastAsia"/>
          <w:sz w:val="32"/>
          <w:szCs w:val="32"/>
        </w:rPr>
        <w:t>实行千分制，评价内容</w:t>
      </w:r>
      <w:r w:rsidRPr="00DF3F96">
        <w:rPr>
          <w:rFonts w:ascii="仿宋_GB2312" w:eastAsia="仿宋_GB2312" w:hAnsi="仿宋" w:cs="宋体" w:hint="eastAsia"/>
          <w:kern w:val="0"/>
          <w:sz w:val="32"/>
          <w:szCs w:val="32"/>
        </w:rPr>
        <w:t>包括企业基本信息、市场经营信息、良好信用信息、不良信用信息等四个方面。</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二是明确了动态评价的方式。</w:t>
      </w:r>
      <w:bookmarkStart w:id="1" w:name="_Hlk50968742"/>
      <w:r w:rsidRPr="00DF3F96">
        <w:rPr>
          <w:rFonts w:ascii="仿宋_GB2312" w:eastAsia="仿宋_GB2312" w:hAnsi="仿宋" w:hint="eastAsia"/>
          <w:sz w:val="32"/>
          <w:szCs w:val="32"/>
        </w:rPr>
        <w:t>《办法》规定</w:t>
      </w:r>
      <w:bookmarkEnd w:id="1"/>
      <w:r w:rsidRPr="00DF3F96">
        <w:rPr>
          <w:rFonts w:ascii="仿宋_GB2312" w:eastAsia="仿宋_GB2312" w:hAnsi="仿宋" w:hint="eastAsia"/>
          <w:sz w:val="32"/>
          <w:szCs w:val="32"/>
        </w:rPr>
        <w:t>，天津市建筑市场信用管理平台按照市住房城乡建设委发布的建设工程企业信用评价标准对归集周期内的信用信息进行自动评价，向社会公布得分及等级。</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三是明确了外地建设工程企业和新办资质企业首次参评标准。</w:t>
      </w:r>
    </w:p>
    <w:p w:rsidR="00A651C2" w:rsidRPr="00DF3F96" w:rsidRDefault="00A651C2" w:rsidP="00DF3F96">
      <w:pPr>
        <w:pStyle w:val="a7"/>
        <w:spacing w:line="560" w:lineRule="exact"/>
        <w:ind w:firstLineChars="200" w:firstLine="624"/>
        <w:rPr>
          <w:rFonts w:ascii="仿宋_GB2312" w:eastAsia="仿宋_GB2312" w:hAnsi="仿宋" w:cs="宋体"/>
          <w:kern w:val="0"/>
          <w:sz w:val="32"/>
          <w:szCs w:val="32"/>
        </w:rPr>
      </w:pPr>
      <w:r w:rsidRPr="00DF3F96">
        <w:rPr>
          <w:rFonts w:ascii="仿宋_GB2312" w:eastAsia="仿宋_GB2312" w:hAnsi="仿宋" w:hint="eastAsia"/>
          <w:sz w:val="32"/>
          <w:szCs w:val="32"/>
        </w:rPr>
        <w:t>四是设置了暂停评价的规</w:t>
      </w:r>
      <w:r w:rsidR="00C63B4D">
        <w:rPr>
          <w:rFonts w:ascii="仿宋_GB2312" w:eastAsia="仿宋_GB2312" w:hAnsi="仿宋" w:hint="eastAsia"/>
          <w:sz w:val="32"/>
          <w:szCs w:val="32"/>
        </w:rPr>
        <w:t>定</w:t>
      </w:r>
      <w:r w:rsidRPr="00DF3F96">
        <w:rPr>
          <w:rFonts w:ascii="仿宋_GB2312" w:eastAsia="仿宋_GB2312" w:hAnsi="仿宋" w:hint="eastAsia"/>
          <w:sz w:val="32"/>
          <w:szCs w:val="32"/>
        </w:rPr>
        <w:t>。建设工程企业发生违法违规行为，经市住</w:t>
      </w:r>
      <w:proofErr w:type="gramStart"/>
      <w:r w:rsidRPr="00DF3F96">
        <w:rPr>
          <w:rFonts w:ascii="仿宋_GB2312" w:eastAsia="仿宋_GB2312" w:hAnsi="仿宋" w:hint="eastAsia"/>
          <w:sz w:val="32"/>
          <w:szCs w:val="32"/>
        </w:rPr>
        <w:t>建执法</w:t>
      </w:r>
      <w:proofErr w:type="gramEnd"/>
      <w:r w:rsidRPr="00DF3F96">
        <w:rPr>
          <w:rFonts w:ascii="仿宋_GB2312" w:eastAsia="仿宋_GB2312" w:hAnsi="仿宋" w:hint="eastAsia"/>
          <w:sz w:val="32"/>
          <w:szCs w:val="32"/>
        </w:rPr>
        <w:t>总队或区住房建设主管部门建议可暂停评价；</w:t>
      </w:r>
      <w:r w:rsidRPr="00DF3F96">
        <w:rPr>
          <w:rFonts w:ascii="仿宋_GB2312" w:eastAsia="仿宋_GB2312" w:hAnsi="仿宋" w:cs="宋体" w:hint="eastAsia"/>
          <w:kern w:val="0"/>
          <w:sz w:val="32"/>
          <w:szCs w:val="32"/>
        </w:rPr>
        <w:t>待</w:t>
      </w:r>
      <w:proofErr w:type="gramStart"/>
      <w:r w:rsidRPr="00DF3F96">
        <w:rPr>
          <w:rFonts w:ascii="仿宋_GB2312" w:eastAsia="仿宋_GB2312" w:hAnsi="仿宋" w:cs="宋体" w:hint="eastAsia"/>
          <w:kern w:val="0"/>
          <w:sz w:val="32"/>
          <w:szCs w:val="32"/>
        </w:rPr>
        <w:t>作出</w:t>
      </w:r>
      <w:proofErr w:type="gramEnd"/>
      <w:r w:rsidRPr="00DF3F96">
        <w:rPr>
          <w:rFonts w:ascii="仿宋_GB2312" w:eastAsia="仿宋_GB2312" w:hAnsi="仿宋" w:cs="宋体" w:hint="eastAsia"/>
          <w:kern w:val="0"/>
          <w:sz w:val="32"/>
          <w:szCs w:val="32"/>
        </w:rPr>
        <w:t>行政处罚、行政处理决定后，恢复信用评价。</w:t>
      </w:r>
    </w:p>
    <w:p w:rsidR="00A651C2" w:rsidRPr="00DF3F96" w:rsidRDefault="00A651C2" w:rsidP="00DF3F96">
      <w:pPr>
        <w:pStyle w:val="a7"/>
        <w:spacing w:line="560" w:lineRule="exact"/>
        <w:ind w:firstLineChars="200" w:firstLine="624"/>
        <w:rPr>
          <w:rFonts w:ascii="仿宋_GB2312" w:eastAsia="仿宋_GB2312" w:hAnsi="仿宋"/>
          <w:sz w:val="32"/>
          <w:szCs w:val="32"/>
        </w:rPr>
      </w:pPr>
      <w:r w:rsidRPr="00DF3F96">
        <w:rPr>
          <w:rFonts w:ascii="仿宋_GB2312" w:eastAsia="仿宋_GB2312" w:hAnsi="仿宋" w:hint="eastAsia"/>
          <w:sz w:val="32"/>
          <w:szCs w:val="32"/>
        </w:rPr>
        <w:t>五是明确了评价结果的应用。</w:t>
      </w:r>
      <w:r w:rsidRPr="00DF3F96">
        <w:rPr>
          <w:rFonts w:ascii="仿宋_GB2312" w:eastAsia="仿宋_GB2312" w:hAnsi="仿宋" w:cs="宋体" w:hint="eastAsia"/>
          <w:kern w:val="0"/>
          <w:sz w:val="32"/>
          <w:szCs w:val="32"/>
        </w:rPr>
        <w:t>市、区住房城乡建设主管部门可以结合实际，依据我市社会信用有关规定，在行政许可、招标投标、日常监管、政策扶持、评优表彰等工作中应用信用评价结果。</w:t>
      </w:r>
    </w:p>
    <w:p w:rsidR="00A651C2" w:rsidRPr="00DF3F96" w:rsidRDefault="00A651C2" w:rsidP="00DF3F96">
      <w:pPr>
        <w:pStyle w:val="a7"/>
        <w:spacing w:line="560" w:lineRule="exact"/>
        <w:ind w:firstLineChars="200" w:firstLine="624"/>
        <w:rPr>
          <w:rFonts w:ascii="仿宋_GB2312" w:eastAsia="仿宋_GB2312" w:hAnsi="仿宋"/>
          <w:sz w:val="32"/>
          <w:szCs w:val="32"/>
        </w:rPr>
      </w:pPr>
    </w:p>
    <w:p w:rsidR="00A651C2" w:rsidRPr="002D6B72" w:rsidRDefault="00A651C2" w:rsidP="00DF3F96">
      <w:pPr>
        <w:pStyle w:val="a7"/>
        <w:spacing w:line="560" w:lineRule="exact"/>
        <w:ind w:firstLineChars="200" w:firstLine="624"/>
        <w:rPr>
          <w:rFonts w:ascii="仿宋" w:eastAsia="仿宋" w:hAnsi="仿宋"/>
          <w:sz w:val="32"/>
          <w:szCs w:val="32"/>
        </w:rPr>
      </w:pPr>
      <w:r w:rsidRPr="002D6B72">
        <w:rPr>
          <w:rFonts w:ascii="仿宋" w:eastAsia="仿宋" w:hAnsi="仿宋" w:hint="eastAsia"/>
          <w:sz w:val="32"/>
          <w:szCs w:val="32"/>
        </w:rPr>
        <w:lastRenderedPageBreak/>
        <w:t xml:space="preserve">                                   </w:t>
      </w:r>
    </w:p>
    <w:p w:rsidR="00A651C2" w:rsidRPr="002D6B72" w:rsidRDefault="00A651C2" w:rsidP="00DF3F96">
      <w:pPr>
        <w:pStyle w:val="a7"/>
        <w:spacing w:line="560" w:lineRule="exact"/>
        <w:ind w:firstLineChars="200" w:firstLine="624"/>
        <w:rPr>
          <w:rFonts w:ascii="仿宋" w:eastAsia="仿宋" w:hAnsi="仿宋"/>
          <w:sz w:val="32"/>
          <w:szCs w:val="32"/>
        </w:rPr>
      </w:pPr>
      <w:r w:rsidRPr="002D6B72">
        <w:rPr>
          <w:rFonts w:ascii="仿宋" w:eastAsia="仿宋" w:hAnsi="仿宋" w:hint="eastAsia"/>
          <w:sz w:val="32"/>
          <w:szCs w:val="32"/>
        </w:rPr>
        <w:t xml:space="preserve">                                   </w:t>
      </w:r>
    </w:p>
    <w:p w:rsidR="00A651C2" w:rsidRPr="002D6B72" w:rsidRDefault="00A651C2" w:rsidP="00DF3F96">
      <w:pPr>
        <w:pStyle w:val="a7"/>
        <w:spacing w:line="560" w:lineRule="exact"/>
        <w:ind w:firstLineChars="200" w:firstLine="624"/>
        <w:rPr>
          <w:rFonts w:ascii="仿宋" w:eastAsia="仿宋" w:hAnsi="仿宋"/>
          <w:sz w:val="32"/>
          <w:szCs w:val="32"/>
        </w:rPr>
      </w:pPr>
    </w:p>
    <w:p w:rsidR="00A651C2" w:rsidRPr="00974D47" w:rsidRDefault="00A651C2" w:rsidP="00DF3F96">
      <w:pPr>
        <w:pStyle w:val="a7"/>
        <w:spacing w:line="560" w:lineRule="exact"/>
        <w:ind w:firstLine="480"/>
        <w:jc w:val="center"/>
        <w:rPr>
          <w:rFonts w:ascii="仿宋" w:eastAsia="仿宋" w:hAnsi="仿宋"/>
          <w:color w:val="3A3A3A"/>
          <w:sz w:val="32"/>
          <w:szCs w:val="32"/>
        </w:rPr>
      </w:pPr>
    </w:p>
    <w:p w:rsidR="004533E2" w:rsidRPr="004533E2" w:rsidRDefault="00E55123" w:rsidP="00DF3F96">
      <w:pPr>
        <w:spacing w:line="560" w:lineRule="exact"/>
        <w:ind w:firstLineChars="200" w:firstLine="624"/>
        <w:rPr>
          <w:rFonts w:ascii="仿宋" w:eastAsia="仿宋" w:hAnsi="仿宋"/>
          <w:szCs w:val="32"/>
        </w:rPr>
      </w:pPr>
      <w:r>
        <w:rPr>
          <w:rFonts w:ascii="仿宋" w:eastAsia="仿宋" w:hAnsi="仿宋" w:hint="eastAsia"/>
          <w:szCs w:val="32"/>
        </w:rPr>
        <w:t xml:space="preserve">         </w:t>
      </w:r>
    </w:p>
    <w:sectPr w:rsidR="004533E2" w:rsidRPr="004533E2" w:rsidSect="005629AC">
      <w:headerReference w:type="even" r:id="rId7"/>
      <w:headerReference w:type="default" r:id="rId8"/>
      <w:footerReference w:type="even" r:id="rId9"/>
      <w:footerReference w:type="default" r:id="rId10"/>
      <w:pgSz w:w="11906" w:h="16838"/>
      <w:pgMar w:top="2098" w:right="1588" w:bottom="1985" w:left="1588" w:header="851" w:footer="992" w:gutter="0"/>
      <w:pgNumType w:fmt="numberInDash"/>
      <w:cols w:space="720"/>
      <w:titlePg/>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17" w:rsidRDefault="00A74B17">
      <w:r>
        <w:separator/>
      </w:r>
    </w:p>
  </w:endnote>
  <w:endnote w:type="continuationSeparator" w:id="0">
    <w:p w:rsidR="00A74B17" w:rsidRDefault="00A7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9A" w:rsidRDefault="008355E7">
    <w:pPr>
      <w:pStyle w:val="a8"/>
      <w:framePr w:wrap="around" w:vAnchor="text" w:hAnchor="margin" w:xAlign="right" w:y="1"/>
      <w:rPr>
        <w:rStyle w:val="a3"/>
      </w:rPr>
    </w:pPr>
    <w:r>
      <w:fldChar w:fldCharType="begin"/>
    </w:r>
    <w:r w:rsidR="00451AD5">
      <w:rPr>
        <w:rStyle w:val="a3"/>
      </w:rPr>
      <w:instrText xml:space="preserve">PAGE  </w:instrText>
    </w:r>
    <w:r>
      <w:fldChar w:fldCharType="end"/>
    </w:r>
  </w:p>
  <w:p w:rsidR="002E2B9A" w:rsidRDefault="002E2B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732"/>
      <w:docPartObj>
        <w:docPartGallery w:val="Page Numbers (Bottom of Page)"/>
        <w:docPartUnique/>
      </w:docPartObj>
    </w:sdtPr>
    <w:sdtEndPr/>
    <w:sdtContent>
      <w:sdt>
        <w:sdtPr>
          <w:id w:val="171357217"/>
          <w:docPartObj>
            <w:docPartGallery w:val="Page Numbers (Top of Page)"/>
            <w:docPartUnique/>
          </w:docPartObj>
        </w:sdtPr>
        <w:sdtEndPr/>
        <w:sdtContent>
          <w:p w:rsidR="00BE2DDD" w:rsidRDefault="00BE2DDD">
            <w:pPr>
              <w:pStyle w:val="a8"/>
              <w:jc w:val="center"/>
            </w:pPr>
            <w:r>
              <w:rPr>
                <w:lang w:val="zh-CN"/>
              </w:rPr>
              <w:t xml:space="preserve"> </w:t>
            </w:r>
            <w:r w:rsidR="008355E7">
              <w:rPr>
                <w:b/>
                <w:sz w:val="24"/>
                <w:szCs w:val="24"/>
              </w:rPr>
              <w:fldChar w:fldCharType="begin"/>
            </w:r>
            <w:r>
              <w:rPr>
                <w:b/>
              </w:rPr>
              <w:instrText>PAGE</w:instrText>
            </w:r>
            <w:r w:rsidR="008355E7">
              <w:rPr>
                <w:b/>
                <w:sz w:val="24"/>
                <w:szCs w:val="24"/>
              </w:rPr>
              <w:fldChar w:fldCharType="separate"/>
            </w:r>
            <w:r w:rsidR="00C51F50">
              <w:rPr>
                <w:b/>
                <w:noProof/>
              </w:rPr>
              <w:t>- 3 -</w:t>
            </w:r>
            <w:r w:rsidR="008355E7">
              <w:rPr>
                <w:b/>
                <w:sz w:val="24"/>
                <w:szCs w:val="24"/>
              </w:rPr>
              <w:fldChar w:fldCharType="end"/>
            </w:r>
            <w:r>
              <w:rPr>
                <w:lang w:val="zh-CN"/>
              </w:rPr>
              <w:t xml:space="preserve"> </w:t>
            </w:r>
            <w:r>
              <w:rPr>
                <w:lang w:val="zh-CN"/>
              </w:rPr>
              <w:t xml:space="preserve">/ </w:t>
            </w:r>
            <w:r w:rsidR="008355E7">
              <w:rPr>
                <w:b/>
                <w:sz w:val="24"/>
                <w:szCs w:val="24"/>
              </w:rPr>
              <w:fldChar w:fldCharType="begin"/>
            </w:r>
            <w:r>
              <w:rPr>
                <w:b/>
              </w:rPr>
              <w:instrText>NUMPAGES</w:instrText>
            </w:r>
            <w:r w:rsidR="008355E7">
              <w:rPr>
                <w:b/>
                <w:sz w:val="24"/>
                <w:szCs w:val="24"/>
              </w:rPr>
              <w:fldChar w:fldCharType="separate"/>
            </w:r>
            <w:r w:rsidR="00C51F50">
              <w:rPr>
                <w:b/>
                <w:noProof/>
              </w:rPr>
              <w:t>3</w:t>
            </w:r>
            <w:r w:rsidR="008355E7">
              <w:rPr>
                <w:b/>
                <w:sz w:val="24"/>
                <w:szCs w:val="24"/>
              </w:rPr>
              <w:fldChar w:fldCharType="end"/>
            </w:r>
          </w:p>
        </w:sdtContent>
      </w:sdt>
    </w:sdtContent>
  </w:sdt>
  <w:p w:rsidR="002E2B9A" w:rsidRDefault="002E2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17" w:rsidRDefault="00A74B17">
      <w:r>
        <w:separator/>
      </w:r>
    </w:p>
  </w:footnote>
  <w:footnote w:type="continuationSeparator" w:id="0">
    <w:p w:rsidR="00A74B17" w:rsidRDefault="00A7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9A" w:rsidRDefault="002E2B9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9A" w:rsidRDefault="002E2B9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010"/>
    <w:rsid w:val="DFBDDC17"/>
    <w:rsid w:val="EAFA0DF4"/>
    <w:rsid w:val="F3DE8B34"/>
    <w:rsid w:val="F7FF1F12"/>
    <w:rsid w:val="000104C9"/>
    <w:rsid w:val="00014B6E"/>
    <w:rsid w:val="00044FED"/>
    <w:rsid w:val="00077D27"/>
    <w:rsid w:val="000E402F"/>
    <w:rsid w:val="001010CC"/>
    <w:rsid w:val="00102E1A"/>
    <w:rsid w:val="00137B9C"/>
    <w:rsid w:val="001547A5"/>
    <w:rsid w:val="0017169F"/>
    <w:rsid w:val="001914A3"/>
    <w:rsid w:val="001916C7"/>
    <w:rsid w:val="001919DC"/>
    <w:rsid w:val="001C1010"/>
    <w:rsid w:val="0020344D"/>
    <w:rsid w:val="002214A1"/>
    <w:rsid w:val="00245E2F"/>
    <w:rsid w:val="002816D9"/>
    <w:rsid w:val="002E2B9A"/>
    <w:rsid w:val="0030081A"/>
    <w:rsid w:val="003507D9"/>
    <w:rsid w:val="00375DBC"/>
    <w:rsid w:val="003B4103"/>
    <w:rsid w:val="003B6BFB"/>
    <w:rsid w:val="003D2193"/>
    <w:rsid w:val="004110AC"/>
    <w:rsid w:val="004149F4"/>
    <w:rsid w:val="004348EA"/>
    <w:rsid w:val="00447D53"/>
    <w:rsid w:val="00451AD5"/>
    <w:rsid w:val="004533E2"/>
    <w:rsid w:val="004858CE"/>
    <w:rsid w:val="004B0A4E"/>
    <w:rsid w:val="004D3152"/>
    <w:rsid w:val="00536898"/>
    <w:rsid w:val="005629AC"/>
    <w:rsid w:val="00577515"/>
    <w:rsid w:val="0058076D"/>
    <w:rsid w:val="0058759A"/>
    <w:rsid w:val="00595194"/>
    <w:rsid w:val="005A001F"/>
    <w:rsid w:val="005D2310"/>
    <w:rsid w:val="005D790F"/>
    <w:rsid w:val="00610B7C"/>
    <w:rsid w:val="006335AC"/>
    <w:rsid w:val="006347DC"/>
    <w:rsid w:val="00641FDA"/>
    <w:rsid w:val="00666BA7"/>
    <w:rsid w:val="00672746"/>
    <w:rsid w:val="006A483D"/>
    <w:rsid w:val="006D4758"/>
    <w:rsid w:val="0075157D"/>
    <w:rsid w:val="00752729"/>
    <w:rsid w:val="00790CB4"/>
    <w:rsid w:val="007C6EAF"/>
    <w:rsid w:val="007F1A6B"/>
    <w:rsid w:val="00813654"/>
    <w:rsid w:val="008201AA"/>
    <w:rsid w:val="00832A39"/>
    <w:rsid w:val="008355E7"/>
    <w:rsid w:val="0084289C"/>
    <w:rsid w:val="00865825"/>
    <w:rsid w:val="00897241"/>
    <w:rsid w:val="008C0F44"/>
    <w:rsid w:val="008F253C"/>
    <w:rsid w:val="0091040E"/>
    <w:rsid w:val="009556D1"/>
    <w:rsid w:val="00966360"/>
    <w:rsid w:val="009676C4"/>
    <w:rsid w:val="00991A8E"/>
    <w:rsid w:val="009D635D"/>
    <w:rsid w:val="009F4C7D"/>
    <w:rsid w:val="009F7783"/>
    <w:rsid w:val="00A10A8D"/>
    <w:rsid w:val="00A37899"/>
    <w:rsid w:val="00A651C2"/>
    <w:rsid w:val="00A74B17"/>
    <w:rsid w:val="00A805DC"/>
    <w:rsid w:val="00A907B8"/>
    <w:rsid w:val="00AA6FE8"/>
    <w:rsid w:val="00AC18F1"/>
    <w:rsid w:val="00AC3683"/>
    <w:rsid w:val="00AD306E"/>
    <w:rsid w:val="00AE72AF"/>
    <w:rsid w:val="00B007A1"/>
    <w:rsid w:val="00B41981"/>
    <w:rsid w:val="00B54933"/>
    <w:rsid w:val="00B65AC3"/>
    <w:rsid w:val="00BC39F4"/>
    <w:rsid w:val="00BC61E4"/>
    <w:rsid w:val="00BD231F"/>
    <w:rsid w:val="00BE1E37"/>
    <w:rsid w:val="00BE2DDD"/>
    <w:rsid w:val="00BF113F"/>
    <w:rsid w:val="00BF1752"/>
    <w:rsid w:val="00BF3A0C"/>
    <w:rsid w:val="00BF45CB"/>
    <w:rsid w:val="00C317E1"/>
    <w:rsid w:val="00C35BA6"/>
    <w:rsid w:val="00C436D3"/>
    <w:rsid w:val="00C50BE5"/>
    <w:rsid w:val="00C51F50"/>
    <w:rsid w:val="00C52103"/>
    <w:rsid w:val="00C55083"/>
    <w:rsid w:val="00C63B4D"/>
    <w:rsid w:val="00C70D73"/>
    <w:rsid w:val="00CA4770"/>
    <w:rsid w:val="00CB4404"/>
    <w:rsid w:val="00CC3077"/>
    <w:rsid w:val="00CD00E9"/>
    <w:rsid w:val="00CE257E"/>
    <w:rsid w:val="00D042DA"/>
    <w:rsid w:val="00D83DA1"/>
    <w:rsid w:val="00DA6368"/>
    <w:rsid w:val="00DC7143"/>
    <w:rsid w:val="00DE3BED"/>
    <w:rsid w:val="00DF3F96"/>
    <w:rsid w:val="00E104A8"/>
    <w:rsid w:val="00E22579"/>
    <w:rsid w:val="00E35679"/>
    <w:rsid w:val="00E55123"/>
    <w:rsid w:val="00E70CC0"/>
    <w:rsid w:val="00EF2F5B"/>
    <w:rsid w:val="00F34933"/>
    <w:rsid w:val="00F3596F"/>
    <w:rsid w:val="00F45978"/>
    <w:rsid w:val="00F74695"/>
    <w:rsid w:val="00F844BE"/>
    <w:rsid w:val="00FC669D"/>
    <w:rsid w:val="12A77D23"/>
    <w:rsid w:val="38956972"/>
    <w:rsid w:val="38FA1B1C"/>
    <w:rsid w:val="490F53F7"/>
    <w:rsid w:val="4FC10DD9"/>
    <w:rsid w:val="5D384B30"/>
    <w:rsid w:val="6FDE528E"/>
    <w:rsid w:val="77804E9F"/>
    <w:rsid w:val="79F979AA"/>
    <w:rsid w:val="7EFBA2DF"/>
    <w:rsid w:val="7FFFA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4A7BE4D-5B08-4C7C-989E-5C4BF25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9AC"/>
    <w:pPr>
      <w:widowControl w:val="0"/>
      <w:jc w:val="both"/>
    </w:pPr>
    <w:rPr>
      <w:rFonts w:ascii="Calibri" w:hAnsi="Calibri"/>
      <w:kern w:val="2"/>
      <w:sz w:val="32"/>
      <w:szCs w:val="22"/>
    </w:rPr>
  </w:style>
  <w:style w:type="paragraph" w:styleId="1">
    <w:name w:val="heading 1"/>
    <w:basedOn w:val="a"/>
    <w:next w:val="a"/>
    <w:link w:val="1Char"/>
    <w:qFormat/>
    <w:rsid w:val="005629AC"/>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629A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629AC"/>
    <w:rPr>
      <w:rFonts w:ascii="Calibri" w:hAnsi="Calibri"/>
      <w:b/>
      <w:bCs/>
      <w:kern w:val="44"/>
      <w:sz w:val="44"/>
      <w:szCs w:val="44"/>
    </w:rPr>
  </w:style>
  <w:style w:type="character" w:styleId="a3">
    <w:name w:val="page number"/>
    <w:basedOn w:val="a0"/>
    <w:qFormat/>
    <w:rsid w:val="005629AC"/>
  </w:style>
  <w:style w:type="character" w:customStyle="1" w:styleId="3Char">
    <w:name w:val="标题 3 Char"/>
    <w:basedOn w:val="a0"/>
    <w:link w:val="3"/>
    <w:semiHidden/>
    <w:qFormat/>
    <w:rsid w:val="005629AC"/>
    <w:rPr>
      <w:rFonts w:ascii="Calibri" w:hAnsi="Calibri"/>
      <w:b/>
      <w:bCs/>
      <w:kern w:val="2"/>
      <w:sz w:val="32"/>
      <w:szCs w:val="32"/>
    </w:rPr>
  </w:style>
  <w:style w:type="character" w:styleId="a4">
    <w:name w:val="FollowedHyperlink"/>
    <w:basedOn w:val="a0"/>
    <w:qFormat/>
    <w:rsid w:val="005629AC"/>
    <w:rPr>
      <w:color w:val="000000"/>
      <w:sz w:val="14"/>
      <w:szCs w:val="14"/>
      <w:u w:val="none"/>
    </w:rPr>
  </w:style>
  <w:style w:type="character" w:styleId="a5">
    <w:name w:val="Hyperlink"/>
    <w:basedOn w:val="a0"/>
    <w:qFormat/>
    <w:rsid w:val="005629AC"/>
    <w:rPr>
      <w:color w:val="000000"/>
      <w:sz w:val="14"/>
      <w:szCs w:val="14"/>
      <w:u w:val="none"/>
    </w:rPr>
  </w:style>
  <w:style w:type="paragraph" w:styleId="a6">
    <w:name w:val="header"/>
    <w:basedOn w:val="a"/>
    <w:semiHidden/>
    <w:qFormat/>
    <w:rsid w:val="005629A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629AC"/>
    <w:rPr>
      <w:rFonts w:ascii="Times New Roman" w:hAnsi="Times New Roman"/>
      <w:sz w:val="24"/>
      <w:szCs w:val="24"/>
    </w:rPr>
  </w:style>
  <w:style w:type="paragraph" w:styleId="a8">
    <w:name w:val="footer"/>
    <w:basedOn w:val="a"/>
    <w:link w:val="Char"/>
    <w:uiPriority w:val="99"/>
    <w:qFormat/>
    <w:rsid w:val="005629AC"/>
    <w:pPr>
      <w:tabs>
        <w:tab w:val="center" w:pos="4153"/>
        <w:tab w:val="right" w:pos="8306"/>
      </w:tabs>
      <w:snapToGrid w:val="0"/>
      <w:jc w:val="left"/>
    </w:pPr>
    <w:rPr>
      <w:sz w:val="18"/>
      <w:szCs w:val="18"/>
    </w:rPr>
  </w:style>
  <w:style w:type="character" w:customStyle="1" w:styleId="Char">
    <w:name w:val="页脚 Char"/>
    <w:basedOn w:val="a0"/>
    <w:link w:val="a8"/>
    <w:uiPriority w:val="99"/>
    <w:rsid w:val="00BE2DDD"/>
    <w:rPr>
      <w:rFonts w:ascii="Calibri" w:hAnsi="Calibri"/>
      <w:kern w:val="2"/>
      <w:sz w:val="18"/>
      <w:szCs w:val="18"/>
    </w:rPr>
  </w:style>
  <w:style w:type="paragraph" w:styleId="a9">
    <w:name w:val="Balloon Text"/>
    <w:basedOn w:val="a"/>
    <w:link w:val="Char0"/>
    <w:semiHidden/>
    <w:unhideWhenUsed/>
    <w:rsid w:val="00DF3F96"/>
    <w:rPr>
      <w:sz w:val="18"/>
      <w:szCs w:val="18"/>
    </w:rPr>
  </w:style>
  <w:style w:type="character" w:customStyle="1" w:styleId="Char0">
    <w:name w:val="批注框文本 Char"/>
    <w:basedOn w:val="a0"/>
    <w:link w:val="a9"/>
    <w:semiHidden/>
    <w:rsid w:val="00DF3F9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l\Documents\&#33258;&#23450;&#20041;%20Office%20&#27169;&#26495;\&#25105;&#30340;&#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6A5A-116B-4D80-8BF6-02373826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我的公文</Template>
  <TotalTime>196</TotalTime>
  <Pages>3</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hxl</dc:creator>
  <cp:lastModifiedBy>lenovo</cp:lastModifiedBy>
  <cp:revision>19</cp:revision>
  <cp:lastPrinted>2021-05-13T06:22:00Z</cp:lastPrinted>
  <dcterms:created xsi:type="dcterms:W3CDTF">2021-03-19T03:38:00Z</dcterms:created>
  <dcterms:modified xsi:type="dcterms:W3CDTF">2021-05-13T06:37:00Z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